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5C64AD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5C64AD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44CA8572" w:rsidR="000E00D4" w:rsidRDefault="000E00D4" w:rsidP="00E263C6">
      <w:pPr>
        <w:ind w:firstLine="426"/>
        <w:jc w:val="both"/>
      </w:pPr>
      <w:r w:rsidRPr="005C64AD">
        <w:t>a)</w:t>
      </w:r>
      <w:r w:rsidRPr="005C64AD">
        <w:tab/>
      </w:r>
      <w:r w:rsidR="00D37C66">
        <w:rPr>
          <w:b/>
          <w:bCs/>
          <w:lang w:eastAsia="cs-CZ"/>
        </w:rPr>
        <w:t>3</w:t>
      </w:r>
      <w:r w:rsidR="001557C2">
        <w:rPr>
          <w:b/>
          <w:bCs/>
          <w:lang w:eastAsia="cs-CZ"/>
        </w:rPr>
        <w:t>ks server pro rozšíření souborových servery OŘ</w:t>
      </w:r>
    </w:p>
    <w:p w14:paraId="646EA458" w14:textId="5E2919BF" w:rsidR="000B4A87" w:rsidRDefault="00C569B1" w:rsidP="000E00D4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9B32C3" w:rsidRPr="0050706D" w14:paraId="550DD99D" w14:textId="77777777" w:rsidTr="000C34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9B32C3" w:rsidRPr="0050706D" w14:paraId="1AFA283E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F6245FD" w14:textId="576F26D7" w:rsidR="009B32C3" w:rsidRPr="005C64AD" w:rsidRDefault="00D37C66" w:rsidP="0060320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1557C2">
              <w:rPr>
                <w:rFonts w:cstheme="minorHAnsi"/>
                <w:sz w:val="16"/>
                <w:szCs w:val="16"/>
              </w:rPr>
              <w:t>ks</w:t>
            </w:r>
            <w:r w:rsidR="005572F9" w:rsidRPr="005C64AD">
              <w:rPr>
                <w:rFonts w:cstheme="minorHAnsi"/>
                <w:sz w:val="16"/>
                <w:szCs w:val="16"/>
              </w:rPr>
              <w:t xml:space="preserve"> server se shodnou konfigurací</w:t>
            </w:r>
          </w:p>
        </w:tc>
        <w:tc>
          <w:tcPr>
            <w:tcW w:w="3273" w:type="dxa"/>
          </w:tcPr>
          <w:p w14:paraId="4823A83E" w14:textId="5B9A14B9" w:rsidR="009B32C3" w:rsidRPr="00B40A66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06FA8645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9E6A493" w14:textId="43F2E16A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70444AE7" w14:textId="032C164F" w:rsidR="00D37C66" w:rsidRPr="00E539AF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11377D4B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D39BD7" w14:textId="35B69AF7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Velikost skříně serveru o maximální výšce 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5C64AD">
              <w:rPr>
                <w:rFonts w:cstheme="minorHAnsi"/>
                <w:sz w:val="16"/>
                <w:szCs w:val="16"/>
              </w:rPr>
              <w:t xml:space="preserve"> RU (44,5 mm)</w:t>
            </w:r>
          </w:p>
        </w:tc>
        <w:tc>
          <w:tcPr>
            <w:tcW w:w="3273" w:type="dxa"/>
          </w:tcPr>
          <w:p w14:paraId="7A0E49F0" w14:textId="0963AE66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2E0B075D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58880EA" w14:textId="539C2A01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2x CPU, každý minimálně 8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fyzických  jader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(16 vláken) se základní frekvencí minimálně 2.0 GHz se spotřebou maximálně 270 W TDP, výkon dle www.spec.org ve sloupci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baseline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minimálně 380 bodů pro CPU2017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Integer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Rates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a 510 pro CPU2017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Floating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Point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Rates</w:t>
            </w:r>
            <w:proofErr w:type="spellEnd"/>
          </w:p>
        </w:tc>
        <w:tc>
          <w:tcPr>
            <w:tcW w:w="3273" w:type="dxa"/>
          </w:tcPr>
          <w:p w14:paraId="10C699E8" w14:textId="656A51B2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782F2CB3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CDEFF5A" w14:textId="425C54CA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Pr="000C348A">
              <w:rPr>
                <w:rFonts w:cstheme="minorHAnsi"/>
                <w:sz w:val="16"/>
                <w:szCs w:val="16"/>
              </w:rPr>
              <w:t>rchitektura Intel x86-64 z důvodu kompatibility současného prostředí</w:t>
            </w:r>
          </w:p>
        </w:tc>
        <w:tc>
          <w:tcPr>
            <w:tcW w:w="3273" w:type="dxa"/>
          </w:tcPr>
          <w:p w14:paraId="01F6E801" w14:textId="66BA0A19" w:rsidR="00D37C66" w:rsidRPr="002F1E94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3D8092B7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86ACF5B" w14:textId="3081465C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Operační paměť minimálně 64 GB DDR5 4800Mhz s použitím modulů o minimální velikosti 32 GB, rozšiřitelná minimálně do 1024 GB jen přidáním dalších paměťových modulů</w:t>
            </w:r>
          </w:p>
        </w:tc>
        <w:tc>
          <w:tcPr>
            <w:tcW w:w="3273" w:type="dxa"/>
          </w:tcPr>
          <w:p w14:paraId="34A1C7F3" w14:textId="616B9CAD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3A83EA3D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F048FCF" w14:textId="2ED13A81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Každý server musí být osazen 2x interním M.2 SSD v HW RAID</w:t>
            </w:r>
            <w:r>
              <w:rPr>
                <w:rFonts w:cstheme="minorHAnsi"/>
                <w:sz w:val="16"/>
                <w:szCs w:val="16"/>
              </w:rPr>
              <w:t>1</w:t>
            </w:r>
            <w:r w:rsidRPr="005C64AD">
              <w:rPr>
                <w:rFonts w:cstheme="minorHAnsi"/>
                <w:sz w:val="16"/>
                <w:szCs w:val="16"/>
              </w:rPr>
              <w:t xml:space="preserve">, umožňující bootování jakéhokoli OS nebo hypervizoru o kapacitě alespoň </w:t>
            </w:r>
            <w:r>
              <w:rPr>
                <w:rFonts w:cstheme="minorHAnsi"/>
                <w:sz w:val="16"/>
                <w:szCs w:val="16"/>
              </w:rPr>
              <w:t>512</w:t>
            </w:r>
            <w:r w:rsidRPr="005C64AD">
              <w:rPr>
                <w:rFonts w:cstheme="minorHAnsi"/>
                <w:sz w:val="16"/>
                <w:szCs w:val="16"/>
              </w:rPr>
              <w:t xml:space="preserve"> GB</w:t>
            </w:r>
          </w:p>
        </w:tc>
        <w:tc>
          <w:tcPr>
            <w:tcW w:w="3273" w:type="dxa"/>
          </w:tcPr>
          <w:p w14:paraId="1D0DEE83" w14:textId="100DBBCC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7E73D3E3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AC4AB44" w14:textId="01C9DA37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Každý server musí být osazen 6x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>SSD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 xml:space="preserve">min. 1DWPD 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>v HW RAID6, umožňující ukládání uživatelských dat</w:t>
            </w:r>
            <w:r>
              <w:rPr>
                <w:rFonts w:ascii="Verdana" w:eastAsia="Verdana" w:hAnsi="Verdana" w:cs="Verdana"/>
                <w:sz w:val="16"/>
                <w:szCs w:val="16"/>
              </w:rPr>
              <w:t xml:space="preserve"> o kapacitě min. 3,8 TB</w:t>
            </w:r>
          </w:p>
        </w:tc>
        <w:tc>
          <w:tcPr>
            <w:tcW w:w="3273" w:type="dxa"/>
          </w:tcPr>
          <w:p w14:paraId="15EB499D" w14:textId="79EA4A29" w:rsidR="00D37C66" w:rsidRPr="002F1E94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77AEC610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5917FE3" w14:textId="6F667E52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Minimálně 1x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Dualport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10/25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Gbps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SFP+ LAN adapter</w:t>
            </w:r>
            <w:r w:rsidR="0061099C">
              <w:rPr>
                <w:rFonts w:ascii="Verdana" w:eastAsia="Verdana" w:hAnsi="Verdana" w:cs="Verdana"/>
                <w:sz w:val="16"/>
                <w:szCs w:val="16"/>
              </w:rPr>
              <w:t>, plně kompatibilní s </w:t>
            </w:r>
            <w:proofErr w:type="spellStart"/>
            <w:r w:rsidR="0061099C">
              <w:rPr>
                <w:rFonts w:ascii="Verdana" w:eastAsia="Verdana" w:hAnsi="Verdana" w:cs="Verdana"/>
                <w:sz w:val="16"/>
                <w:szCs w:val="16"/>
              </w:rPr>
              <w:t>Mellanox</w:t>
            </w:r>
            <w:proofErr w:type="spellEnd"/>
            <w:r w:rsidR="0061099C">
              <w:rPr>
                <w:rFonts w:ascii="Verdana" w:eastAsia="Verdana" w:hAnsi="Verdana" w:cs="Verdana"/>
                <w:sz w:val="16"/>
                <w:szCs w:val="16"/>
              </w:rPr>
              <w:t>,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včetně 10Gbps SFP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+  modulů</w:t>
            </w:r>
            <w:proofErr w:type="gramEnd"/>
          </w:p>
        </w:tc>
        <w:tc>
          <w:tcPr>
            <w:tcW w:w="3273" w:type="dxa"/>
          </w:tcPr>
          <w:p w14:paraId="39E3EAAD" w14:textId="30ABB54F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6FBD0BC5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B593BB4" w14:textId="3E426110" w:rsidR="00D37C66" w:rsidRPr="009A35A4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  <w:highlight w:val="yellow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Minimálně 4x 1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Gbps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port pro komunikaci do LAN sítí</w:t>
            </w:r>
          </w:p>
        </w:tc>
        <w:tc>
          <w:tcPr>
            <w:tcW w:w="3273" w:type="dxa"/>
          </w:tcPr>
          <w:p w14:paraId="39543D36" w14:textId="22F0B537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33B57B9B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6E28F4E" w14:textId="76B93958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Dedikovaný 1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Gbps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RJ45 port pro HW management</w:t>
            </w:r>
          </w:p>
        </w:tc>
        <w:tc>
          <w:tcPr>
            <w:tcW w:w="3273" w:type="dxa"/>
          </w:tcPr>
          <w:p w14:paraId="7CA07BAC" w14:textId="3CF3E61E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2E6729F3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65DC4AE" w14:textId="0BFD92A2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5C64AD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Platform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Module 2.0</w:t>
            </w:r>
          </w:p>
        </w:tc>
        <w:tc>
          <w:tcPr>
            <w:tcW w:w="3273" w:type="dxa"/>
          </w:tcPr>
          <w:p w14:paraId="564EF704" w14:textId="07866CD9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41EF2B24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DBBBD35" w14:textId="016EDD3A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hot-swap napájecí zdroj, každý minimálně o výkonu 750 W s minimální certifikací „80 PLUS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Titanium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0656906C" w14:textId="6B2E0B98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6ADC47C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C5CFB3F" w14:textId="7A136F9E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Výsuvné ližiny do rackové skříně včetně ramena na kabely „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management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arm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361F53BD" w14:textId="1D261A70" w:rsidR="00D37C66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376F0EB9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3FDAC67" w14:textId="05CB17B6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napájecí kabel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230V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CEE7/7 v délce minimálně 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5C64AD">
              <w:rPr>
                <w:rFonts w:cstheme="minorHAnsi"/>
                <w:sz w:val="16"/>
                <w:szCs w:val="16"/>
              </w:rPr>
              <w:t>.8 metru, každý v jiné barvě (černá, červená)</w:t>
            </w:r>
          </w:p>
        </w:tc>
        <w:tc>
          <w:tcPr>
            <w:tcW w:w="3273" w:type="dxa"/>
          </w:tcPr>
          <w:p w14:paraId="45CBD31E" w14:textId="40D1A179" w:rsidR="00D37C66" w:rsidRPr="00E539AF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5B898AD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A94AD78" w14:textId="620FC2DF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Podporované OS Windows Server 2019,2022,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7.0 a vyšší,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RedHat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Linux 8.x a 9.x</w:t>
            </w:r>
          </w:p>
        </w:tc>
        <w:tc>
          <w:tcPr>
            <w:tcW w:w="3273" w:type="dxa"/>
          </w:tcPr>
          <w:p w14:paraId="74CF9B66" w14:textId="532EFDCB" w:rsidR="00D37C66" w:rsidRPr="00E539AF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66DAB09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C3F5104" w14:textId="77777777" w:rsidR="00D37C66" w:rsidRPr="00AD1BD5" w:rsidRDefault="00D37C66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Vzdálená správa HW serveru </w:t>
            </w:r>
          </w:p>
          <w:p w14:paraId="6413E90F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6AE0BFC9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přesměrování management portu pomocí NSCI na jinou síťovou kartu.</w:t>
            </w:r>
          </w:p>
          <w:p w14:paraId="4B2A6BF8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Možnost vzdáleného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mountování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ISO image.</w:t>
            </w:r>
          </w:p>
          <w:p w14:paraId="357CDCF1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lastRenderedPageBreak/>
              <w:t>Možnost sdílet jednu virtuální konzoli až šesti uživateli.</w:t>
            </w:r>
          </w:p>
          <w:p w14:paraId="1234C6D8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standartních Webových prohlížečů a HTML5.</w:t>
            </w:r>
          </w:p>
          <w:p w14:paraId="0DBD1647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a možnost sledování stavu jednotlivých komponent včetně úrovní FW.</w:t>
            </w:r>
          </w:p>
          <w:p w14:paraId="2A0C520C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Real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time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sledování vytíženosti CPU, paměti a spotřeby, možnost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Power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cappingu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</w:t>
            </w:r>
          </w:p>
          <w:p w14:paraId="35B46F4D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asistované instalace OS bez dalších nástrojů, médií, ISO apod.</w:t>
            </w:r>
          </w:p>
          <w:p w14:paraId="661EA7C0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REDFISH a RESTAPI skriptů.</w:t>
            </w:r>
          </w:p>
          <w:p w14:paraId="4116553B" w14:textId="77777777" w:rsidR="00D37C66" w:rsidRPr="00AD1BD5" w:rsidRDefault="00D37C66" w:rsidP="00D37C6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Nejvyšší licence pro správu serveru bez jakéhokoli omezení.</w:t>
            </w:r>
          </w:p>
          <w:p w14:paraId="46A064CC" w14:textId="10D0822B" w:rsidR="00D37C66" w:rsidRPr="005C64AD" w:rsidRDefault="00D37C66" w:rsidP="00D37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Všechny licence potřebné k provozu managementu a HW, (management, mapování ISO, KVM přístup).</w:t>
            </w:r>
          </w:p>
        </w:tc>
        <w:tc>
          <w:tcPr>
            <w:tcW w:w="3273" w:type="dxa"/>
          </w:tcPr>
          <w:p w14:paraId="1247C845" w14:textId="2B289242" w:rsidR="00D37C66" w:rsidRPr="00E539AF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D37C66" w:rsidRPr="0050706D" w14:paraId="0AC02B1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8AC2557" w14:textId="77777777" w:rsidR="00D37C66" w:rsidRPr="00AD1BD5" w:rsidRDefault="00D37C66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Hromadná správa </w:t>
            </w:r>
          </w:p>
          <w:p w14:paraId="2F216B60" w14:textId="77777777" w:rsidR="00D37C66" w:rsidRPr="00AD1BD5" w:rsidRDefault="00D37C66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Časově neomezená licence na hromadnou správu serverů, inventarizace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alerting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</w:t>
            </w:r>
          </w:p>
          <w:p w14:paraId="30210383" w14:textId="77777777" w:rsidR="00D37C66" w:rsidRPr="00AD1BD5" w:rsidRDefault="00D37C66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hromadného sledováni a upgrade úrovní FW jednotlivých komponent serverů.</w:t>
            </w:r>
          </w:p>
          <w:p w14:paraId="7D9096EC" w14:textId="77777777" w:rsidR="00D37C66" w:rsidRPr="00AD1BD5" w:rsidRDefault="00D37C66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Call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Home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funkce.</w:t>
            </w:r>
          </w:p>
          <w:p w14:paraId="2EFACFE0" w14:textId="77777777" w:rsidR="00D37C66" w:rsidRPr="00AD1BD5" w:rsidRDefault="00D37C66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Přístup přes mobilní aplikaci.</w:t>
            </w:r>
          </w:p>
          <w:p w14:paraId="67058CD4" w14:textId="77777777" w:rsidR="00D37C66" w:rsidRPr="00AD1BD5" w:rsidRDefault="00D37C66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Splňující standardy NIST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800-131A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a FIPS 140-2.</w:t>
            </w:r>
          </w:p>
          <w:p w14:paraId="5AF893A8" w14:textId="77777777" w:rsidR="00D37C66" w:rsidRPr="00AD1BD5" w:rsidRDefault="00D37C66" w:rsidP="00D37C6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Plug-in do management nodů virtualizačních hypervizorů.</w:t>
            </w:r>
          </w:p>
          <w:p w14:paraId="6EB59387" w14:textId="0D456A6D" w:rsidR="00D37C66" w:rsidRPr="005C64AD" w:rsidRDefault="00D37C66" w:rsidP="00D37C66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Podpora REST-API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Redfish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standardů.</w:t>
            </w:r>
          </w:p>
        </w:tc>
        <w:tc>
          <w:tcPr>
            <w:tcW w:w="3273" w:type="dxa"/>
          </w:tcPr>
          <w:p w14:paraId="46E999DA" w14:textId="15D6DD79" w:rsidR="00D37C66" w:rsidRPr="00E539AF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7F2AC458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72F6CFF" w14:textId="77777777" w:rsidR="00D37C66" w:rsidRPr="00AD1BD5" w:rsidRDefault="00D37C66" w:rsidP="00D37C66">
            <w:pPr>
              <w:spacing w:line="264" w:lineRule="auto"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dohled</w:t>
            </w:r>
          </w:p>
          <w:p w14:paraId="41752FA1" w14:textId="77777777" w:rsidR="00D37C66" w:rsidRPr="00AD1BD5" w:rsidRDefault="00D37C66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Napojení na systém centralizované vzdálené správy a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dohledu - Dell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OpenManage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nebo Lenovo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xClariry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, bez nutnosti pořizovat, instalovat či provozovat jakýkoliv další software, server nebo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appliance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 minimálně v následujícím rozsahu:</w:t>
            </w:r>
          </w:p>
          <w:p w14:paraId="47B107C8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modelů a sériových čísel</w:t>
            </w:r>
          </w:p>
          <w:p w14:paraId="6D846AC1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platnosti servisních kontraktů</w:t>
            </w:r>
          </w:p>
          <w:p w14:paraId="0C006BEC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konfigurace</w:t>
            </w:r>
          </w:p>
          <w:p w14:paraId="0738EF51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Přehled verzí firmware (FW)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jednotlivých komponent</w:t>
            </w:r>
          </w:p>
          <w:p w14:paraId="2E419AD8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Kontrola verzí FW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oproti definovaným politikám</w:t>
            </w:r>
          </w:p>
          <w:p w14:paraId="25DE0E96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zatížení CPU a RAM</w:t>
            </w:r>
          </w:p>
          <w:p w14:paraId="52E25A39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spotřeby elektrické energie</w:t>
            </w:r>
          </w:p>
          <w:p w14:paraId="50AC0C5B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řízení spotřeby elektrické energie</w:t>
            </w:r>
          </w:p>
          <w:p w14:paraId="7362DC1E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Centrální provádění updatů FW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</w:p>
          <w:p w14:paraId="32A35BAB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Dálkové zapnutí/vypnutí jednotlivého serveru</w:t>
            </w:r>
          </w:p>
          <w:p w14:paraId="400070D5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Dálkový přístup do konzole jednotlivého serveru (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remote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KVM)</w:t>
            </w:r>
          </w:p>
          <w:p w14:paraId="6BF580AE" w14:textId="77777777" w:rsidR="00D37C66" w:rsidRPr="00AD1BD5" w:rsidRDefault="00D37C66" w:rsidP="00D37C6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Re-instalace OS pomocí dálkově připojené optické mechaniky a ISO souboru.</w:t>
            </w:r>
          </w:p>
          <w:p w14:paraId="60916D06" w14:textId="3B109BA2" w:rsidR="00D37C66" w:rsidRPr="000C348A" w:rsidRDefault="00D37C66" w:rsidP="00D37C66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6106CCD" w14:textId="34C2635D" w:rsidR="00D37C66" w:rsidRPr="002F1E94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25791CFF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456833B" w14:textId="77777777" w:rsidR="00D37C66" w:rsidRPr="00AD1BD5" w:rsidRDefault="00D37C66" w:rsidP="00D37C6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45F53730" w14:textId="77777777" w:rsidR="00D37C66" w:rsidRPr="00AD1BD5" w:rsidRDefault="00D37C66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3 roky 24 x 7, s doručením náhradního dílu a dojezdem technika on-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site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do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24h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od diagnostiky závady, jedná se o servisní model A4 dle ZOP.</w:t>
            </w:r>
          </w:p>
          <w:p w14:paraId="6B531496" w14:textId="77777777" w:rsidR="00D37C66" w:rsidRPr="00AD1BD5" w:rsidRDefault="00D37C66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6D49AAC3" w14:textId="77777777" w:rsidR="00D37C66" w:rsidRPr="00AD1BD5" w:rsidRDefault="00D37C66" w:rsidP="00D37C6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49F65F15" w14:textId="5F7EF60D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BAA75E2" w14:textId="3B863F20" w:rsidR="00D37C66" w:rsidRPr="00E539AF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D37C66" w:rsidRPr="0050706D" w14:paraId="54AAAD52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3869865" w14:textId="422B89A9" w:rsidR="00D37C66" w:rsidRPr="005C64AD" w:rsidRDefault="00D37C66" w:rsidP="00D37C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4D9127A4" w14:textId="65D6B298" w:rsidR="00D37C66" w:rsidRPr="00E539AF" w:rsidRDefault="00D37C66" w:rsidP="00D37C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C348A" w:rsidRPr="0050706D" w14:paraId="3F0126A7" w14:textId="77777777" w:rsidTr="000C34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9B8B9C" w14:textId="29016B06" w:rsidR="000C348A" w:rsidRPr="00E539AF" w:rsidRDefault="000C348A" w:rsidP="000C348A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347A7E8" w14:textId="7839E224" w:rsidR="000C348A" w:rsidRPr="00E539AF" w:rsidRDefault="000C348A" w:rsidP="000C348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7E77EA81" w14:textId="77777777" w:rsidR="00305C23" w:rsidRDefault="00650424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</w:p>
    <w:p w14:paraId="29C59669" w14:textId="77777777" w:rsidR="00305C23" w:rsidRDefault="00305C23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5413B398" w14:textId="77777777" w:rsidR="00027FAC" w:rsidRDefault="00027FAC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46A23298" w14:textId="77777777" w:rsidR="00305C23" w:rsidRDefault="00305C23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5FE57898" w14:textId="5CE9B498" w:rsidR="00305C23" w:rsidRDefault="00027FAC" w:rsidP="00305C23">
      <w:pPr>
        <w:ind w:firstLine="426"/>
        <w:jc w:val="both"/>
      </w:pPr>
      <w:r>
        <w:lastRenderedPageBreak/>
        <w:t>b</w:t>
      </w:r>
      <w:r w:rsidR="00305C23" w:rsidRPr="005C64AD">
        <w:t>)</w:t>
      </w:r>
      <w:r w:rsidR="00305C23" w:rsidRPr="005C64AD">
        <w:tab/>
      </w:r>
      <w:r w:rsidR="00305C23">
        <w:rPr>
          <w:b/>
          <w:bCs/>
          <w:lang w:eastAsia="cs-CZ"/>
        </w:rPr>
        <w:t>2ks server pro rozšíření zálohování</w:t>
      </w:r>
    </w:p>
    <w:p w14:paraId="01504E7E" w14:textId="77777777" w:rsidR="00305C23" w:rsidRDefault="00305C23" w:rsidP="00305C23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305C23" w:rsidRPr="0050706D" w14:paraId="73F0B661" w14:textId="77777777" w:rsidTr="00230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00DFE123" w14:textId="77777777" w:rsidR="00305C23" w:rsidRPr="00E539AF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27CCB962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305C23" w:rsidRPr="0050706D" w14:paraId="10D10197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491AD9F" w14:textId="676996DB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2ks</w:t>
            </w:r>
            <w:r w:rsidRPr="005C64AD">
              <w:rPr>
                <w:rFonts w:cstheme="minorHAnsi"/>
                <w:sz w:val="16"/>
                <w:szCs w:val="16"/>
              </w:rPr>
              <w:t xml:space="preserve"> server se shodnou konfigurací</w:t>
            </w:r>
          </w:p>
        </w:tc>
        <w:tc>
          <w:tcPr>
            <w:tcW w:w="3273" w:type="dxa"/>
          </w:tcPr>
          <w:p w14:paraId="13BE9118" w14:textId="77777777" w:rsidR="00305C23" w:rsidRPr="00B40A66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1A8A404A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36B65A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76FE72E2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42C20F6D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4D117D8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Velikost skříně serveru o maximální výšce 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5C64AD">
              <w:rPr>
                <w:rFonts w:cstheme="minorHAnsi"/>
                <w:sz w:val="16"/>
                <w:szCs w:val="16"/>
              </w:rPr>
              <w:t xml:space="preserve"> RU (44,5 mm)</w:t>
            </w:r>
          </w:p>
        </w:tc>
        <w:tc>
          <w:tcPr>
            <w:tcW w:w="3273" w:type="dxa"/>
          </w:tcPr>
          <w:p w14:paraId="248CA5D1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64ED2755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9D6B3E6" w14:textId="36F11FFC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2x CPU, každý </w:t>
            </w:r>
            <w:r w:rsidR="00472F66">
              <w:rPr>
                <w:rFonts w:ascii="Verdana" w:eastAsia="Verdana" w:hAnsi="Verdana" w:cs="Verdana"/>
                <w:sz w:val="16"/>
                <w:szCs w:val="16"/>
              </w:rPr>
              <w:t>přesně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8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fyzických  jader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(16 vláken) </w:t>
            </w:r>
            <w:r w:rsidR="00472F66">
              <w:rPr>
                <w:rFonts w:ascii="Verdana" w:eastAsia="Verdana" w:hAnsi="Verdana" w:cs="Verdana"/>
                <w:sz w:val="16"/>
                <w:szCs w:val="16"/>
              </w:rPr>
              <w:t xml:space="preserve">z důvodu licencování, 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výkon dle </w:t>
            </w:r>
            <w:r w:rsidR="00472F66">
              <w:rPr>
                <w:rFonts w:ascii="Verdana" w:eastAsia="Verdana" w:hAnsi="Verdana" w:cs="Verdana"/>
                <w:sz w:val="16"/>
                <w:szCs w:val="16"/>
              </w:rPr>
              <w:t>cpubenchmark.net 14000</w:t>
            </w:r>
          </w:p>
        </w:tc>
        <w:tc>
          <w:tcPr>
            <w:tcW w:w="3273" w:type="dxa"/>
          </w:tcPr>
          <w:p w14:paraId="2CC0363A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758D7BE4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90AE707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Pr="000C348A">
              <w:rPr>
                <w:rFonts w:cstheme="minorHAnsi"/>
                <w:sz w:val="16"/>
                <w:szCs w:val="16"/>
              </w:rPr>
              <w:t>rchitektura Intel x86-64 z důvodu kompatibility současného prostředí</w:t>
            </w:r>
          </w:p>
        </w:tc>
        <w:tc>
          <w:tcPr>
            <w:tcW w:w="3273" w:type="dxa"/>
          </w:tcPr>
          <w:p w14:paraId="324E011D" w14:textId="77777777" w:rsidR="00305C23" w:rsidRPr="002F1E94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0C985380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FD6C92C" w14:textId="671BAC48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Operační paměť minimálně </w:t>
            </w:r>
            <w:r w:rsidR="00472F66">
              <w:rPr>
                <w:rFonts w:ascii="Verdana" w:eastAsia="Verdana" w:hAnsi="Verdana" w:cs="Verdana"/>
                <w:sz w:val="16"/>
                <w:szCs w:val="16"/>
              </w:rPr>
              <w:t>128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GB DDR5 4800Mhz s použitím modulů o minimální velikosti 32 GB, rozšiřitelná minimálně do 1024 GB jen přidáním dalších paměťových modulů</w:t>
            </w:r>
          </w:p>
        </w:tc>
        <w:tc>
          <w:tcPr>
            <w:tcW w:w="3273" w:type="dxa"/>
          </w:tcPr>
          <w:p w14:paraId="7DF073D3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10BF62FC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AC81411" w14:textId="2DAF547D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Každý server musí být osazen </w:t>
            </w:r>
            <w:r w:rsidR="00472F66">
              <w:rPr>
                <w:rFonts w:cstheme="minorHAnsi"/>
                <w:sz w:val="16"/>
                <w:szCs w:val="16"/>
              </w:rPr>
              <w:t>4x SSD min. 3</w:t>
            </w:r>
            <w:r w:rsidR="00027FAC">
              <w:rPr>
                <w:rFonts w:cstheme="minorHAnsi"/>
                <w:sz w:val="16"/>
                <w:szCs w:val="16"/>
              </w:rPr>
              <w:t xml:space="preserve"> </w:t>
            </w:r>
            <w:r w:rsidR="00472F66">
              <w:rPr>
                <w:rFonts w:cstheme="minorHAnsi"/>
                <w:sz w:val="16"/>
                <w:szCs w:val="16"/>
              </w:rPr>
              <w:t>DWPD</w:t>
            </w:r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r w:rsidR="00472F66">
              <w:rPr>
                <w:rFonts w:cstheme="minorHAnsi"/>
                <w:sz w:val="16"/>
                <w:szCs w:val="16"/>
              </w:rPr>
              <w:t xml:space="preserve">o </w:t>
            </w:r>
            <w:r w:rsidRPr="005C64AD">
              <w:rPr>
                <w:rFonts w:cstheme="minorHAnsi"/>
                <w:sz w:val="16"/>
                <w:szCs w:val="16"/>
              </w:rPr>
              <w:t xml:space="preserve">kapacitě alespoň </w:t>
            </w:r>
            <w:r w:rsidR="00472F66">
              <w:rPr>
                <w:rFonts w:cstheme="minorHAnsi"/>
                <w:sz w:val="16"/>
                <w:szCs w:val="16"/>
              </w:rPr>
              <w:t>1,9</w:t>
            </w:r>
            <w:r w:rsidR="00027FAC">
              <w:rPr>
                <w:rFonts w:cstheme="minorHAnsi"/>
                <w:sz w:val="16"/>
                <w:szCs w:val="16"/>
              </w:rPr>
              <w:t xml:space="preserve"> TB</w:t>
            </w:r>
          </w:p>
        </w:tc>
        <w:tc>
          <w:tcPr>
            <w:tcW w:w="3273" w:type="dxa"/>
          </w:tcPr>
          <w:p w14:paraId="78B69D59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5C74F47E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9451692" w14:textId="20F337C5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Každý server musí být osazen </w:t>
            </w:r>
            <w:r w:rsidR="00027FAC">
              <w:rPr>
                <w:rFonts w:ascii="Verdana" w:eastAsia="Verdana" w:hAnsi="Verdana" w:cs="Verdana"/>
                <w:sz w:val="16"/>
                <w:szCs w:val="16"/>
              </w:rPr>
              <w:t>10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x </w:t>
            </w:r>
            <w:r w:rsidR="00027FAC">
              <w:rPr>
                <w:rFonts w:ascii="Verdana" w:eastAsia="Verdana" w:hAnsi="Verdana" w:cs="Verdana"/>
                <w:sz w:val="16"/>
                <w:szCs w:val="16"/>
              </w:rPr>
              <w:t>HDD NL SAS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, </w:t>
            </w:r>
            <w:r>
              <w:rPr>
                <w:rFonts w:ascii="Verdana" w:eastAsia="Verdana" w:hAnsi="Verdana" w:cs="Verdana"/>
                <w:sz w:val="16"/>
                <w:szCs w:val="16"/>
              </w:rPr>
              <w:t xml:space="preserve">o kapacitě min. </w:t>
            </w:r>
            <w:r w:rsidR="00027FAC">
              <w:rPr>
                <w:rFonts w:ascii="Verdana" w:eastAsia="Verdana" w:hAnsi="Verdana" w:cs="Verdana"/>
                <w:sz w:val="16"/>
                <w:szCs w:val="16"/>
              </w:rPr>
              <w:t>12</w:t>
            </w:r>
            <w:r>
              <w:rPr>
                <w:rFonts w:ascii="Verdana" w:eastAsia="Verdana" w:hAnsi="Verdana" w:cs="Verdana"/>
                <w:sz w:val="16"/>
                <w:szCs w:val="16"/>
              </w:rPr>
              <w:t xml:space="preserve"> TB</w:t>
            </w:r>
          </w:p>
        </w:tc>
        <w:tc>
          <w:tcPr>
            <w:tcW w:w="3273" w:type="dxa"/>
          </w:tcPr>
          <w:p w14:paraId="0A7F9B49" w14:textId="77777777" w:rsidR="00305C23" w:rsidRPr="002F1E94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027FAC" w:rsidRPr="0050706D" w14:paraId="29DB36D8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3236F99" w14:textId="6D834330" w:rsidR="00027FAC" w:rsidRPr="00AD1BD5" w:rsidRDefault="00027FAC" w:rsidP="002300E6">
            <w:pPr>
              <w:autoSpaceDE w:val="0"/>
              <w:autoSpaceDN w:val="0"/>
              <w:adjustRightInd w:val="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 w:eastAsia="Verdana" w:hAnsi="Verdana" w:cs="Verdana"/>
                <w:sz w:val="16"/>
                <w:szCs w:val="16"/>
              </w:rPr>
              <w:t xml:space="preserve">Každý server musí být osazen řadičem HW RAID 1,5,6 se zálohovanou </w:t>
            </w:r>
            <w:proofErr w:type="spellStart"/>
            <w:r>
              <w:rPr>
                <w:rFonts w:ascii="Verdana" w:eastAsia="Verdana" w:hAnsi="Verdana" w:cs="Verdana"/>
                <w:sz w:val="16"/>
                <w:szCs w:val="16"/>
              </w:rPr>
              <w:t>mezipamětí</w:t>
            </w:r>
            <w:proofErr w:type="spellEnd"/>
          </w:p>
        </w:tc>
        <w:tc>
          <w:tcPr>
            <w:tcW w:w="3273" w:type="dxa"/>
          </w:tcPr>
          <w:p w14:paraId="317D2AAF" w14:textId="501D065C" w:rsidR="00027FAC" w:rsidRPr="00D37C66" w:rsidRDefault="00027FAC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007076A4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DD46FBA" w14:textId="7FB0BBE8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Minimálně 1x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Dualport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10/25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Gbps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SFP+ LAN adapter</w:t>
            </w:r>
            <w:r w:rsidR="0061099C">
              <w:rPr>
                <w:rFonts w:ascii="Verdana" w:eastAsia="Verdana" w:hAnsi="Verdana" w:cs="Verdana"/>
                <w:sz w:val="16"/>
                <w:szCs w:val="16"/>
              </w:rPr>
              <w:t xml:space="preserve">, </w:t>
            </w:r>
            <w:r w:rsidR="0061099C">
              <w:rPr>
                <w:rFonts w:ascii="Verdana" w:eastAsia="Verdana" w:hAnsi="Verdana" w:cs="Verdana"/>
                <w:sz w:val="16"/>
                <w:szCs w:val="16"/>
              </w:rPr>
              <w:t>, plně kompatibilní s </w:t>
            </w:r>
            <w:proofErr w:type="spellStart"/>
            <w:r w:rsidR="0061099C">
              <w:rPr>
                <w:rFonts w:ascii="Verdana" w:eastAsia="Verdana" w:hAnsi="Verdana" w:cs="Verdana"/>
                <w:sz w:val="16"/>
                <w:szCs w:val="16"/>
              </w:rPr>
              <w:t>Mellanox</w:t>
            </w:r>
            <w:proofErr w:type="spellEnd"/>
            <w:r w:rsidR="0061099C">
              <w:rPr>
                <w:rFonts w:ascii="Verdana" w:eastAsia="Verdana" w:hAnsi="Verdana" w:cs="Verdana"/>
                <w:sz w:val="16"/>
                <w:szCs w:val="16"/>
              </w:rPr>
              <w:t>,</w:t>
            </w: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včetně 10Gbps SFP+  modulů</w:t>
            </w:r>
          </w:p>
        </w:tc>
        <w:tc>
          <w:tcPr>
            <w:tcW w:w="3273" w:type="dxa"/>
          </w:tcPr>
          <w:p w14:paraId="29CEDFE7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48C801C7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5841D42" w14:textId="77777777" w:rsidR="00305C23" w:rsidRPr="009A35A4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  <w:highlight w:val="yellow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Minimálně 4x 1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Gbps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port pro komunikaci do LAN sítí</w:t>
            </w:r>
          </w:p>
        </w:tc>
        <w:tc>
          <w:tcPr>
            <w:tcW w:w="3273" w:type="dxa"/>
          </w:tcPr>
          <w:p w14:paraId="68636935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03C99BED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BF8FBDF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Dedikovaný 1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Gbps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RJ45 port pro HW management</w:t>
            </w:r>
          </w:p>
        </w:tc>
        <w:tc>
          <w:tcPr>
            <w:tcW w:w="3273" w:type="dxa"/>
          </w:tcPr>
          <w:p w14:paraId="59E365EA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0E061F0B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86F855F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5C64AD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Platform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Module 2.0</w:t>
            </w:r>
          </w:p>
        </w:tc>
        <w:tc>
          <w:tcPr>
            <w:tcW w:w="3273" w:type="dxa"/>
          </w:tcPr>
          <w:p w14:paraId="195C8925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37F55098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BE1B13B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hot-swap napájecí zdroj, každý minimálně o výkonu 750 W s minimální certifikací „80 PLUS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Titanium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3C58DBCE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4607121C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9219A21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>Výsuvné ližiny do rackové skříně včetně ramena na kabely „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management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arm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7922C5B1" w14:textId="77777777" w:rsidR="00305C23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2AD0546A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84E8AED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2x napájecí kabel </w:t>
            </w:r>
            <w:proofErr w:type="gramStart"/>
            <w:r w:rsidRPr="005C64AD">
              <w:rPr>
                <w:rFonts w:cstheme="minorHAnsi"/>
                <w:sz w:val="16"/>
                <w:szCs w:val="16"/>
              </w:rPr>
              <w:t>230V</w:t>
            </w:r>
            <w:proofErr w:type="gramEnd"/>
            <w:r w:rsidRPr="005C64AD">
              <w:rPr>
                <w:rFonts w:cstheme="minorHAnsi"/>
                <w:sz w:val="16"/>
                <w:szCs w:val="16"/>
              </w:rPr>
              <w:t xml:space="preserve"> CEE7/7 v délce minimálně </w:t>
            </w:r>
            <w:r>
              <w:rPr>
                <w:rFonts w:cstheme="minorHAnsi"/>
                <w:sz w:val="16"/>
                <w:szCs w:val="16"/>
              </w:rPr>
              <w:t>2</w:t>
            </w:r>
            <w:r w:rsidRPr="005C64AD">
              <w:rPr>
                <w:rFonts w:cstheme="minorHAnsi"/>
                <w:sz w:val="16"/>
                <w:szCs w:val="16"/>
              </w:rPr>
              <w:t>.8 metru, každý v jiné barvě (černá, červená)</w:t>
            </w:r>
          </w:p>
        </w:tc>
        <w:tc>
          <w:tcPr>
            <w:tcW w:w="3273" w:type="dxa"/>
          </w:tcPr>
          <w:p w14:paraId="183455E8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72325BA0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54323A7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C64AD">
              <w:rPr>
                <w:rFonts w:cstheme="minorHAnsi"/>
                <w:sz w:val="16"/>
                <w:szCs w:val="16"/>
              </w:rPr>
              <w:t xml:space="preserve">Podporované OS Windows Server 2019,2022,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7.0 a vyšší, </w:t>
            </w:r>
            <w:proofErr w:type="spellStart"/>
            <w:r w:rsidRPr="005C64AD">
              <w:rPr>
                <w:rFonts w:cstheme="minorHAnsi"/>
                <w:sz w:val="16"/>
                <w:szCs w:val="16"/>
              </w:rPr>
              <w:t>RedHat</w:t>
            </w:r>
            <w:proofErr w:type="spellEnd"/>
            <w:r w:rsidRPr="005C64AD">
              <w:rPr>
                <w:rFonts w:cstheme="minorHAnsi"/>
                <w:sz w:val="16"/>
                <w:szCs w:val="16"/>
              </w:rPr>
              <w:t xml:space="preserve"> Linux 8.x a 9.x</w:t>
            </w:r>
          </w:p>
        </w:tc>
        <w:tc>
          <w:tcPr>
            <w:tcW w:w="3273" w:type="dxa"/>
          </w:tcPr>
          <w:p w14:paraId="4BBB7989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6D304405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0F207AF" w14:textId="77777777" w:rsidR="00305C23" w:rsidRPr="00AD1BD5" w:rsidRDefault="00305C23" w:rsidP="002300E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Vzdálená správa HW serveru </w:t>
            </w:r>
          </w:p>
          <w:p w14:paraId="301D701C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7462AA1A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přesměrování management portu pomocí NSCI na jinou síťovou kartu.</w:t>
            </w:r>
          </w:p>
          <w:p w14:paraId="08248FAD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Možnost vzdáleného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mountování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ISO image.</w:t>
            </w:r>
          </w:p>
          <w:p w14:paraId="7DA8866F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sdílet jednu virtuální konzoli až šesti uživateli.</w:t>
            </w:r>
          </w:p>
          <w:p w14:paraId="453A3F11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standartních Webových prohlížečů a HTML5.</w:t>
            </w:r>
          </w:p>
          <w:p w14:paraId="66925AFF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a možnost sledování stavu jednotlivých komponent včetně úrovní FW.</w:t>
            </w:r>
          </w:p>
          <w:p w14:paraId="17B9D117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Real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time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sledování vytíženosti CPU, paměti a spotřeby, možnost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Power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cappingu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</w:t>
            </w:r>
          </w:p>
          <w:p w14:paraId="4E971AC6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asistované instalace OS bez dalších nástrojů, médií, ISO apod.</w:t>
            </w:r>
          </w:p>
          <w:p w14:paraId="15EAF958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Podpora REDFISH a RESTAPI skriptů.</w:t>
            </w:r>
          </w:p>
          <w:p w14:paraId="726C6F85" w14:textId="77777777" w:rsidR="00305C23" w:rsidRPr="00AD1BD5" w:rsidRDefault="00305C23" w:rsidP="002300E6">
            <w:pPr>
              <w:numPr>
                <w:ilvl w:val="0"/>
                <w:numId w:val="14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Nejvyšší licence pro správu serveru bez jakéhokoli omezení.</w:t>
            </w:r>
          </w:p>
          <w:p w14:paraId="44FF3741" w14:textId="77777777" w:rsidR="00305C23" w:rsidRPr="005C64AD" w:rsidRDefault="00305C23" w:rsidP="002300E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Všechny licence potřebné k provozu managementu a HW, (management, mapování ISO, KVM přístup).</w:t>
            </w:r>
          </w:p>
        </w:tc>
        <w:tc>
          <w:tcPr>
            <w:tcW w:w="3273" w:type="dxa"/>
          </w:tcPr>
          <w:p w14:paraId="0DF78EDC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782484F9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FAE5333" w14:textId="77777777" w:rsidR="00305C23" w:rsidRPr="00AD1BD5" w:rsidRDefault="00305C23" w:rsidP="002300E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Hromadná správa </w:t>
            </w:r>
          </w:p>
          <w:p w14:paraId="0DBAAE36" w14:textId="77777777" w:rsidR="00305C23" w:rsidRPr="00AD1BD5" w:rsidRDefault="00305C23" w:rsidP="002300E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Časově neomezená licence na hromadnou správu serverů, inventarizace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alerting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</w:t>
            </w:r>
          </w:p>
          <w:p w14:paraId="4DBA09A2" w14:textId="77777777" w:rsidR="00305C23" w:rsidRPr="00AD1BD5" w:rsidRDefault="00305C23" w:rsidP="002300E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Možnost hromadného sledováni a upgrade úrovní FW jednotlivých komponent serverů.</w:t>
            </w:r>
          </w:p>
          <w:p w14:paraId="751078A5" w14:textId="77777777" w:rsidR="00305C23" w:rsidRPr="00AD1BD5" w:rsidRDefault="00305C23" w:rsidP="002300E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Call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Home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funkce.</w:t>
            </w:r>
          </w:p>
          <w:p w14:paraId="13F14842" w14:textId="77777777" w:rsidR="00305C23" w:rsidRPr="00AD1BD5" w:rsidRDefault="00305C23" w:rsidP="002300E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Přístup přes mobilní aplikaci.</w:t>
            </w:r>
          </w:p>
          <w:p w14:paraId="2A6DB843" w14:textId="77777777" w:rsidR="00305C23" w:rsidRPr="00AD1BD5" w:rsidRDefault="00305C23" w:rsidP="002300E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Splňující standardy NIST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800-131A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a FIPS 140-2.</w:t>
            </w:r>
          </w:p>
          <w:p w14:paraId="4E42A33A" w14:textId="77777777" w:rsidR="00305C23" w:rsidRPr="00AD1BD5" w:rsidRDefault="00305C23" w:rsidP="002300E6">
            <w:pPr>
              <w:numPr>
                <w:ilvl w:val="0"/>
                <w:numId w:val="15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lastRenderedPageBreak/>
              <w:t>Plug-in do management nodů virtualizačních hypervizorů.</w:t>
            </w:r>
          </w:p>
          <w:p w14:paraId="6D7CCD72" w14:textId="77777777" w:rsidR="00305C23" w:rsidRPr="005C64AD" w:rsidRDefault="00305C23" w:rsidP="002300E6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Podpora REST-API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Redfish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standardů.</w:t>
            </w:r>
          </w:p>
        </w:tc>
        <w:tc>
          <w:tcPr>
            <w:tcW w:w="3273" w:type="dxa"/>
          </w:tcPr>
          <w:p w14:paraId="67E28566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lastRenderedPageBreak/>
              <w:t>[DOPLNÍ PRODÁVAJÍCÍ]</w:t>
            </w:r>
          </w:p>
        </w:tc>
      </w:tr>
      <w:tr w:rsidR="00305C23" w:rsidRPr="0050706D" w14:paraId="5C6746FD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C0E4C61" w14:textId="77777777" w:rsidR="00305C23" w:rsidRPr="00AD1BD5" w:rsidRDefault="00305C23" w:rsidP="002300E6">
            <w:pPr>
              <w:spacing w:line="264" w:lineRule="auto"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dohled</w:t>
            </w:r>
          </w:p>
          <w:p w14:paraId="3B94EBE5" w14:textId="77777777" w:rsidR="00305C23" w:rsidRPr="00AD1BD5" w:rsidRDefault="00305C23" w:rsidP="002300E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Napojení na systém centralizované vzdálené správy a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dohledu - Dell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OpenManage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nebo Lenovo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xClariry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, bez nutnosti pořizovat, instalovat či provozovat jakýkoliv další software, server nebo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appliance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>. minimálně v následujícím rozsahu:</w:t>
            </w:r>
          </w:p>
          <w:p w14:paraId="5B2A950B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modelů a sériových čísel</w:t>
            </w:r>
          </w:p>
          <w:p w14:paraId="0BA4B392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Přehled platnosti servisních kontraktů</w:t>
            </w:r>
          </w:p>
          <w:p w14:paraId="4889A315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Inventarizace konfigurace</w:t>
            </w:r>
          </w:p>
          <w:p w14:paraId="63423B90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Přehled verzí firmware (FW)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jednotlivých komponent</w:t>
            </w:r>
          </w:p>
          <w:p w14:paraId="7EF3E278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Kontrola verzí FW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oproti definovaným politikám</w:t>
            </w:r>
          </w:p>
          <w:p w14:paraId="6D4409A8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zatížení CPU a RAM</w:t>
            </w:r>
          </w:p>
          <w:p w14:paraId="663359CE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Monitoring spotřeby elektrické energie</w:t>
            </w:r>
          </w:p>
          <w:p w14:paraId="5B0923B4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Centrální řízení spotřeby elektrické energie</w:t>
            </w:r>
          </w:p>
          <w:p w14:paraId="08AB9180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Centrální provádění updatů FW a 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BIOSu</w:t>
            </w:r>
            <w:proofErr w:type="spellEnd"/>
          </w:p>
          <w:p w14:paraId="38F99E90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Dálkové zapnutí/vypnutí jednotlivého serveru</w:t>
            </w:r>
          </w:p>
          <w:p w14:paraId="5B44C397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Dálkový přístup do konzole jednotlivého serveru (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remote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KVM)</w:t>
            </w:r>
          </w:p>
          <w:p w14:paraId="78106A6B" w14:textId="77777777" w:rsidR="00305C23" w:rsidRPr="00AD1BD5" w:rsidRDefault="00305C23" w:rsidP="002300E6">
            <w:pPr>
              <w:numPr>
                <w:ilvl w:val="0"/>
                <w:numId w:val="16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Re-instalace OS pomocí dálkově připojené optické mechaniky a ISO souboru.</w:t>
            </w:r>
          </w:p>
          <w:p w14:paraId="28CF80A9" w14:textId="77777777" w:rsidR="00305C23" w:rsidRPr="000C348A" w:rsidRDefault="00305C23" w:rsidP="002300E6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B879B8D" w14:textId="77777777" w:rsidR="00305C23" w:rsidRPr="002F1E94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1B0505EF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11B3ECA" w14:textId="77777777" w:rsidR="00305C23" w:rsidRPr="00AD1BD5" w:rsidRDefault="00305C23" w:rsidP="002300E6">
            <w:pPr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servis:</w:t>
            </w:r>
          </w:p>
          <w:p w14:paraId="0D448DEC" w14:textId="77777777" w:rsidR="00305C23" w:rsidRPr="00AD1BD5" w:rsidRDefault="00305C23" w:rsidP="002300E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3 roky 24 x 7, s doručením náhradního dílu a dojezdem technika on-</w:t>
            </w:r>
            <w:proofErr w:type="spell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site</w:t>
            </w:r>
            <w:proofErr w:type="spell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do </w:t>
            </w:r>
            <w:proofErr w:type="gramStart"/>
            <w:r w:rsidRPr="00AD1BD5">
              <w:rPr>
                <w:rFonts w:ascii="Verdana" w:eastAsia="Verdana" w:hAnsi="Verdana" w:cs="Verdana"/>
                <w:sz w:val="16"/>
                <w:szCs w:val="16"/>
              </w:rPr>
              <w:t>24h</w:t>
            </w:r>
            <w:proofErr w:type="gramEnd"/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 od diagnostiky závady, jedná se o servisní model A4 dle ZOP.</w:t>
            </w:r>
          </w:p>
          <w:p w14:paraId="1A05559A" w14:textId="77777777" w:rsidR="00305C23" w:rsidRPr="00AD1BD5" w:rsidRDefault="00305C23" w:rsidP="002300E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59B1C322" w14:textId="77777777" w:rsidR="00305C23" w:rsidRPr="00AD1BD5" w:rsidRDefault="00305C23" w:rsidP="002300E6">
            <w:pPr>
              <w:numPr>
                <w:ilvl w:val="0"/>
                <w:numId w:val="17"/>
              </w:numPr>
              <w:suppressAutoHyphens/>
              <w:contextualSpacing/>
              <w:rPr>
                <w:rFonts w:ascii="Verdana" w:eastAsia="Verdana" w:hAnsi="Verdana" w:cs="Verdana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1397CACE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14BFBBB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40D63D8B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2AC162DD" w14:textId="77777777" w:rsidR="00305C23" w:rsidRPr="005C64AD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AD1BD5">
              <w:rPr>
                <w:rFonts w:ascii="Verdana" w:eastAsia="Verdana" w:hAnsi="Verdana" w:cs="Verdana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AB422F">
              <w:rPr>
                <w:rFonts w:ascii="Verdana" w:eastAsia="Verdana" w:hAnsi="Verdana" w:cs="Verdana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57FA853C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D37C66">
              <w:rPr>
                <w:sz w:val="16"/>
                <w:szCs w:val="16"/>
                <w:highlight w:val="green"/>
              </w:rPr>
              <w:t>[DOPLNÍ PRODÁVAJÍCÍ]</w:t>
            </w:r>
          </w:p>
        </w:tc>
      </w:tr>
      <w:tr w:rsidR="00305C23" w:rsidRPr="0050706D" w14:paraId="249FC75C" w14:textId="77777777" w:rsidTr="00230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603C2CD" w14:textId="77777777" w:rsidR="00305C23" w:rsidRPr="00E539AF" w:rsidRDefault="00305C23" w:rsidP="002300E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955335A" w14:textId="77777777" w:rsidR="00305C23" w:rsidRPr="00E539AF" w:rsidRDefault="00305C23" w:rsidP="002300E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40B44C72" w14:textId="77777777" w:rsidR="00305C23" w:rsidRDefault="00305C23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8525F06" w14:textId="22DF9695" w:rsidR="00B5111C" w:rsidRDefault="00B5111C" w:rsidP="00B5111C">
      <w:pPr>
        <w:jc w:val="both"/>
      </w:pPr>
      <w:r>
        <w:t>c</w:t>
      </w:r>
      <w:r w:rsidRPr="005C64AD">
        <w:t>)</w:t>
      </w:r>
      <w:r>
        <w:t xml:space="preserve"> </w:t>
      </w:r>
      <w:r>
        <w:rPr>
          <w:b/>
          <w:bCs/>
          <w:lang w:eastAsia="cs-CZ"/>
        </w:rPr>
        <w:t>Instalační materiál</w:t>
      </w:r>
    </w:p>
    <w:p w14:paraId="1E6815A2" w14:textId="77777777" w:rsidR="00650424" w:rsidRPr="00291870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91870">
        <w:t>Kabeláž pro připojení managementu dodaného Hardware</w:t>
      </w:r>
    </w:p>
    <w:p w14:paraId="1A12A991" w14:textId="77777777" w:rsidR="00650424" w:rsidRDefault="00650424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91870">
        <w:t>Materiál pro montáž dodaného Hardware do racku</w:t>
      </w:r>
    </w:p>
    <w:p w14:paraId="768ADDC2" w14:textId="741DEAB8" w:rsidR="00027FAC" w:rsidRPr="00291870" w:rsidRDefault="00027FAC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027FAC">
        <w:t xml:space="preserve">2x minimálně </w:t>
      </w:r>
      <w:proofErr w:type="gramStart"/>
      <w:r w:rsidRPr="00027FAC">
        <w:t>5m</w:t>
      </w:r>
      <w:proofErr w:type="gramEnd"/>
      <w:r w:rsidRPr="00027FAC">
        <w:t xml:space="preserve"> optický patch kabel MM LC/LC OM4</w:t>
      </w:r>
    </w:p>
    <w:p w14:paraId="5BD1E24D" w14:textId="77777777" w:rsidR="00650424" w:rsidRDefault="0065042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A97970" w14:textId="77777777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EE451D3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B256993" w:rsidR="00B623EA" w:rsidRPr="006309C9" w:rsidRDefault="00B623EA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</w:t>
      </w:r>
    </w:p>
    <w:p w14:paraId="7485CFD1" w14:textId="36CD0DFA" w:rsidR="00396088" w:rsidRPr="006309C9" w:rsidRDefault="00122CF1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Ekologickou likvidaci odpadu</w:t>
      </w:r>
    </w:p>
    <w:p w14:paraId="13FCDD64" w14:textId="725F5045" w:rsidR="00087D48" w:rsidRPr="00221465" w:rsidRDefault="00B623EA" w:rsidP="00E31899">
      <w:pPr>
        <w:keepNext/>
        <w:keepLines/>
        <w:spacing w:after="120" w:line="266" w:lineRule="auto"/>
        <w:ind w:left="-6" w:hanging="42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309C9">
        <w:rPr>
          <w:rFonts w:eastAsia="Calibri" w:cs="Times New Roman"/>
        </w:rPr>
        <w:tab/>
      </w:r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0733E8A2" w14:textId="77777777" w:rsidR="003668ED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745D29F7" w14:textId="0770D966" w:rsidR="00950F03" w:rsidRPr="003668ED" w:rsidRDefault="00950F03" w:rsidP="003668ED">
      <w:pPr>
        <w:keepNext/>
        <w:tabs>
          <w:tab w:val="num" w:pos="567"/>
        </w:tabs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3668ED">
        <w:rPr>
          <w:rFonts w:eastAsia="Calibri" w:cs="Times New Roman"/>
        </w:rPr>
        <w:t xml:space="preserve">Podmínky akceptačního řízení dle čl. 8 Zvláštních obchodních podmínek se neuplatní. </w:t>
      </w:r>
      <w:r w:rsidR="003668ED">
        <w:rPr>
          <w:rFonts w:eastAsia="Calibri" w:cs="Times New Roman"/>
        </w:rPr>
        <w:br/>
      </w:r>
      <w:r w:rsidRPr="003668ED">
        <w:rPr>
          <w:rFonts w:eastAsia="Calibri" w:cs="Times New Roman"/>
        </w:rPr>
        <w:t xml:space="preserve">O předání a převzetí Hardware dle čl. 2 této přílohy bude sepsán a oboustranně podepsán předávací protokol o dodání Hardware, a to po </w:t>
      </w:r>
      <w:r w:rsidR="00174BE9" w:rsidRPr="003668ED">
        <w:rPr>
          <w:rFonts w:eastAsia="Calibri" w:cs="Times New Roman"/>
        </w:rPr>
        <w:t>instalaci dodaného Hardware v lokalitě</w:t>
      </w:r>
      <w:r w:rsidRPr="003668ED">
        <w:rPr>
          <w:rFonts w:eastAsia="Calibri" w:cs="Times New Roman"/>
        </w:rPr>
        <w:t>.</w:t>
      </w:r>
    </w:p>
    <w:p w14:paraId="4A92F3B2" w14:textId="77777777" w:rsidR="00087D48" w:rsidRPr="00221465" w:rsidRDefault="00087D48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0" w:name="_Toc517632211"/>
      <w:bookmarkStart w:id="21" w:name="_Toc517978988"/>
      <w:bookmarkStart w:id="22" w:name="_Toc518251185"/>
      <w:bookmarkStart w:id="23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0"/>
      <w:bookmarkEnd w:id="21"/>
      <w:bookmarkEnd w:id="22"/>
      <w:bookmarkEnd w:id="23"/>
    </w:p>
    <w:p w14:paraId="080953A9" w14:textId="77777777" w:rsidR="009F392E" w:rsidRPr="00F0533E" w:rsidRDefault="00E31899" w:rsidP="00501E7E">
      <w:pPr>
        <w:ind w:firstLine="567"/>
      </w:pPr>
      <w:bookmarkStart w:id="24" w:name="_Ref514349626"/>
      <w:r>
        <w:rPr>
          <w:rFonts w:asciiTheme="majorHAnsi" w:eastAsia="Times New Roman" w:hAnsiTheme="majorHAnsi" w:cs="Arial"/>
          <w:bCs/>
          <w:iCs/>
        </w:rPr>
        <w:t>Není součástí dodávky.</w:t>
      </w:r>
      <w:bookmarkEnd w:id="24"/>
    </w:p>
    <w:sectPr w:rsidR="009F392E" w:rsidRPr="00F0533E" w:rsidSect="00F33F5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9ECF2" w14:textId="77777777" w:rsidR="005150BC" w:rsidRDefault="005150BC" w:rsidP="00962258">
      <w:pPr>
        <w:spacing w:after="0" w:line="240" w:lineRule="auto"/>
      </w:pPr>
      <w:r>
        <w:separator/>
      </w:r>
    </w:p>
  </w:endnote>
  <w:endnote w:type="continuationSeparator" w:id="0">
    <w:p w14:paraId="497C1FC6" w14:textId="77777777" w:rsidR="005150BC" w:rsidRDefault="005150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03818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0CACF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E1DF1" w14:textId="77777777" w:rsidR="005150BC" w:rsidRDefault="005150BC" w:rsidP="00962258">
      <w:pPr>
        <w:spacing w:after="0" w:line="240" w:lineRule="auto"/>
      </w:pPr>
      <w:r>
        <w:separator/>
      </w:r>
    </w:p>
  </w:footnote>
  <w:footnote w:type="continuationSeparator" w:id="0">
    <w:p w14:paraId="713C001F" w14:textId="77777777" w:rsidR="005150BC" w:rsidRDefault="005150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  <w:bookmarkStart w:id="25" w:name="_Hlk170733771"/>
          <w:bookmarkStart w:id="26" w:name="_Hlk170733772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5"/>
  <w:bookmarkEnd w:id="26"/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876F21"/>
    <w:multiLevelType w:val="multilevel"/>
    <w:tmpl w:val="29FC3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BC6F06"/>
    <w:multiLevelType w:val="multilevel"/>
    <w:tmpl w:val="F260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8232ED"/>
    <w:multiLevelType w:val="hybridMultilevel"/>
    <w:tmpl w:val="D3F2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24BA0"/>
    <w:multiLevelType w:val="hybridMultilevel"/>
    <w:tmpl w:val="1860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8" w15:restartNumberingAfterBreak="0">
    <w:nsid w:val="4E6549D4"/>
    <w:multiLevelType w:val="hybridMultilevel"/>
    <w:tmpl w:val="744C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62AC3609"/>
    <w:multiLevelType w:val="hybridMultilevel"/>
    <w:tmpl w:val="52668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40241650">
    <w:abstractNumId w:val="2"/>
  </w:num>
  <w:num w:numId="2" w16cid:durableId="917329007">
    <w:abstractNumId w:val="0"/>
  </w:num>
  <w:num w:numId="3" w16cid:durableId="801771454">
    <w:abstractNumId w:val="3"/>
  </w:num>
  <w:num w:numId="4" w16cid:durableId="1306934877">
    <w:abstractNumId w:val="15"/>
  </w:num>
  <w:num w:numId="5" w16cid:durableId="1596550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548103">
    <w:abstractNumId w:val="7"/>
  </w:num>
  <w:num w:numId="7" w16cid:durableId="588779511">
    <w:abstractNumId w:val="9"/>
  </w:num>
  <w:num w:numId="8" w16cid:durableId="335813254">
    <w:abstractNumId w:val="8"/>
  </w:num>
  <w:num w:numId="9" w16cid:durableId="298534187">
    <w:abstractNumId w:val="6"/>
  </w:num>
  <w:num w:numId="10" w16cid:durableId="1928617203">
    <w:abstractNumId w:val="5"/>
  </w:num>
  <w:num w:numId="11" w16cid:durableId="1647124513">
    <w:abstractNumId w:val="4"/>
  </w:num>
  <w:num w:numId="12" w16cid:durableId="989944594">
    <w:abstractNumId w:val="1"/>
  </w:num>
  <w:num w:numId="13" w16cid:durableId="1723677798">
    <w:abstractNumId w:val="10"/>
  </w:num>
  <w:num w:numId="14" w16cid:durableId="2147232649">
    <w:abstractNumId w:val="16"/>
  </w:num>
  <w:num w:numId="15" w16cid:durableId="1619947039">
    <w:abstractNumId w:val="13"/>
  </w:num>
  <w:num w:numId="16" w16cid:durableId="1215196054">
    <w:abstractNumId w:val="12"/>
  </w:num>
  <w:num w:numId="17" w16cid:durableId="107532155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258EC"/>
    <w:rsid w:val="00026D60"/>
    <w:rsid w:val="00027FAC"/>
    <w:rsid w:val="000340ED"/>
    <w:rsid w:val="00072C1E"/>
    <w:rsid w:val="000845B5"/>
    <w:rsid w:val="00087D48"/>
    <w:rsid w:val="00094116"/>
    <w:rsid w:val="000942C8"/>
    <w:rsid w:val="00097117"/>
    <w:rsid w:val="000B4A87"/>
    <w:rsid w:val="000C348A"/>
    <w:rsid w:val="000E00D4"/>
    <w:rsid w:val="000E23A7"/>
    <w:rsid w:val="000F4E6B"/>
    <w:rsid w:val="00101133"/>
    <w:rsid w:val="00104969"/>
    <w:rsid w:val="0010693F"/>
    <w:rsid w:val="00114472"/>
    <w:rsid w:val="00114F3C"/>
    <w:rsid w:val="00122CF1"/>
    <w:rsid w:val="001364FA"/>
    <w:rsid w:val="00137B3C"/>
    <w:rsid w:val="001420DD"/>
    <w:rsid w:val="0014619F"/>
    <w:rsid w:val="0015161C"/>
    <w:rsid w:val="001550BC"/>
    <w:rsid w:val="001557C2"/>
    <w:rsid w:val="00156642"/>
    <w:rsid w:val="001605B9"/>
    <w:rsid w:val="00170EC5"/>
    <w:rsid w:val="0017428F"/>
    <w:rsid w:val="001747C1"/>
    <w:rsid w:val="00174BE9"/>
    <w:rsid w:val="00184743"/>
    <w:rsid w:val="00197089"/>
    <w:rsid w:val="001D004B"/>
    <w:rsid w:val="001E69BF"/>
    <w:rsid w:val="001F10BF"/>
    <w:rsid w:val="00200BD9"/>
    <w:rsid w:val="00207DF5"/>
    <w:rsid w:val="00234144"/>
    <w:rsid w:val="00255763"/>
    <w:rsid w:val="002559BD"/>
    <w:rsid w:val="0026097C"/>
    <w:rsid w:val="00266CFC"/>
    <w:rsid w:val="002748B2"/>
    <w:rsid w:val="00280E07"/>
    <w:rsid w:val="00291870"/>
    <w:rsid w:val="002A2771"/>
    <w:rsid w:val="002A2C36"/>
    <w:rsid w:val="002B33F0"/>
    <w:rsid w:val="002B4205"/>
    <w:rsid w:val="002C31BF"/>
    <w:rsid w:val="002C7860"/>
    <w:rsid w:val="002D08B1"/>
    <w:rsid w:val="002D37C5"/>
    <w:rsid w:val="002E0CD7"/>
    <w:rsid w:val="002E36FF"/>
    <w:rsid w:val="002F3EB3"/>
    <w:rsid w:val="00300682"/>
    <w:rsid w:val="00304F3B"/>
    <w:rsid w:val="00305C23"/>
    <w:rsid w:val="00320CFA"/>
    <w:rsid w:val="00341300"/>
    <w:rsid w:val="00341DCF"/>
    <w:rsid w:val="003437F5"/>
    <w:rsid w:val="00350B50"/>
    <w:rsid w:val="00354827"/>
    <w:rsid w:val="003570D0"/>
    <w:rsid w:val="00357BC6"/>
    <w:rsid w:val="00360E74"/>
    <w:rsid w:val="003668ED"/>
    <w:rsid w:val="00366EA7"/>
    <w:rsid w:val="00384EC7"/>
    <w:rsid w:val="00385458"/>
    <w:rsid w:val="00386525"/>
    <w:rsid w:val="00387B22"/>
    <w:rsid w:val="00387B54"/>
    <w:rsid w:val="0039560D"/>
    <w:rsid w:val="003956C6"/>
    <w:rsid w:val="00396088"/>
    <w:rsid w:val="003B650A"/>
    <w:rsid w:val="003C76BB"/>
    <w:rsid w:val="003E55E3"/>
    <w:rsid w:val="00400BE9"/>
    <w:rsid w:val="004149D8"/>
    <w:rsid w:val="00440277"/>
    <w:rsid w:val="00441430"/>
    <w:rsid w:val="00450F07"/>
    <w:rsid w:val="00453CD3"/>
    <w:rsid w:val="00460660"/>
    <w:rsid w:val="00462616"/>
    <w:rsid w:val="00472F66"/>
    <w:rsid w:val="00473C72"/>
    <w:rsid w:val="004777E5"/>
    <w:rsid w:val="00477F34"/>
    <w:rsid w:val="0048459E"/>
    <w:rsid w:val="00485FE7"/>
    <w:rsid w:val="00486107"/>
    <w:rsid w:val="00486F4A"/>
    <w:rsid w:val="00490F2A"/>
    <w:rsid w:val="00491827"/>
    <w:rsid w:val="0049486B"/>
    <w:rsid w:val="004A65F4"/>
    <w:rsid w:val="004A7EEA"/>
    <w:rsid w:val="004B348C"/>
    <w:rsid w:val="004C4399"/>
    <w:rsid w:val="004C5AF4"/>
    <w:rsid w:val="004C787C"/>
    <w:rsid w:val="004D2F42"/>
    <w:rsid w:val="004D75E1"/>
    <w:rsid w:val="004E143C"/>
    <w:rsid w:val="004E3A53"/>
    <w:rsid w:val="004F20BC"/>
    <w:rsid w:val="004F4B9B"/>
    <w:rsid w:val="004F5478"/>
    <w:rsid w:val="004F69EA"/>
    <w:rsid w:val="00501E7E"/>
    <w:rsid w:val="0050706D"/>
    <w:rsid w:val="0051191A"/>
    <w:rsid w:val="00511AB9"/>
    <w:rsid w:val="005150BC"/>
    <w:rsid w:val="00523EA7"/>
    <w:rsid w:val="00526F61"/>
    <w:rsid w:val="005330E2"/>
    <w:rsid w:val="00553375"/>
    <w:rsid w:val="005572F9"/>
    <w:rsid w:val="00557C28"/>
    <w:rsid w:val="00562E9A"/>
    <w:rsid w:val="00572ED0"/>
    <w:rsid w:val="005736B7"/>
    <w:rsid w:val="00573CA8"/>
    <w:rsid w:val="00575E5A"/>
    <w:rsid w:val="00582EF0"/>
    <w:rsid w:val="005C64AD"/>
    <w:rsid w:val="005E12B0"/>
    <w:rsid w:val="005F1404"/>
    <w:rsid w:val="005F39E3"/>
    <w:rsid w:val="005F71E0"/>
    <w:rsid w:val="0061068E"/>
    <w:rsid w:val="0061099C"/>
    <w:rsid w:val="00640DC7"/>
    <w:rsid w:val="00650424"/>
    <w:rsid w:val="00655924"/>
    <w:rsid w:val="00660AD3"/>
    <w:rsid w:val="00662986"/>
    <w:rsid w:val="00677B7F"/>
    <w:rsid w:val="00693112"/>
    <w:rsid w:val="006A5570"/>
    <w:rsid w:val="006A689C"/>
    <w:rsid w:val="006B1758"/>
    <w:rsid w:val="006B186C"/>
    <w:rsid w:val="006B3D79"/>
    <w:rsid w:val="006B50F0"/>
    <w:rsid w:val="006C780C"/>
    <w:rsid w:val="006D7AFE"/>
    <w:rsid w:val="006E0578"/>
    <w:rsid w:val="006E314D"/>
    <w:rsid w:val="0070280D"/>
    <w:rsid w:val="00710723"/>
    <w:rsid w:val="00712EFE"/>
    <w:rsid w:val="007205F7"/>
    <w:rsid w:val="00723ED1"/>
    <w:rsid w:val="007376CE"/>
    <w:rsid w:val="00743525"/>
    <w:rsid w:val="0075031C"/>
    <w:rsid w:val="00757599"/>
    <w:rsid w:val="0076286B"/>
    <w:rsid w:val="00766846"/>
    <w:rsid w:val="0077673A"/>
    <w:rsid w:val="007846E1"/>
    <w:rsid w:val="00790081"/>
    <w:rsid w:val="00794E28"/>
    <w:rsid w:val="00796093"/>
    <w:rsid w:val="007964AE"/>
    <w:rsid w:val="007A710F"/>
    <w:rsid w:val="007B570C"/>
    <w:rsid w:val="007B721B"/>
    <w:rsid w:val="007C589B"/>
    <w:rsid w:val="007E25D5"/>
    <w:rsid w:val="007E4A6E"/>
    <w:rsid w:val="007E5339"/>
    <w:rsid w:val="007F56A7"/>
    <w:rsid w:val="007F68D4"/>
    <w:rsid w:val="008043F0"/>
    <w:rsid w:val="008072C7"/>
    <w:rsid w:val="00807DD0"/>
    <w:rsid w:val="008161AA"/>
    <w:rsid w:val="00820000"/>
    <w:rsid w:val="0083112B"/>
    <w:rsid w:val="008358C1"/>
    <w:rsid w:val="00840BC7"/>
    <w:rsid w:val="008519DF"/>
    <w:rsid w:val="008659F3"/>
    <w:rsid w:val="00880AF8"/>
    <w:rsid w:val="00886D4B"/>
    <w:rsid w:val="00895406"/>
    <w:rsid w:val="008A2656"/>
    <w:rsid w:val="008A3068"/>
    <w:rsid w:val="008A3568"/>
    <w:rsid w:val="008B4E13"/>
    <w:rsid w:val="008C18EE"/>
    <w:rsid w:val="008D03B9"/>
    <w:rsid w:val="008D08F7"/>
    <w:rsid w:val="008F18D6"/>
    <w:rsid w:val="008F25E6"/>
    <w:rsid w:val="008F66C2"/>
    <w:rsid w:val="008F7A22"/>
    <w:rsid w:val="00900C31"/>
    <w:rsid w:val="00901761"/>
    <w:rsid w:val="00904780"/>
    <w:rsid w:val="00914F0B"/>
    <w:rsid w:val="00915C31"/>
    <w:rsid w:val="009211DE"/>
    <w:rsid w:val="00922385"/>
    <w:rsid w:val="009223DF"/>
    <w:rsid w:val="00923B02"/>
    <w:rsid w:val="00923DE9"/>
    <w:rsid w:val="00930E6C"/>
    <w:rsid w:val="00936091"/>
    <w:rsid w:val="00937DC2"/>
    <w:rsid w:val="00940D8A"/>
    <w:rsid w:val="00941B19"/>
    <w:rsid w:val="00941D20"/>
    <w:rsid w:val="00950F03"/>
    <w:rsid w:val="00954933"/>
    <w:rsid w:val="00962258"/>
    <w:rsid w:val="00966DD2"/>
    <w:rsid w:val="009678B7"/>
    <w:rsid w:val="009710EB"/>
    <w:rsid w:val="009741F7"/>
    <w:rsid w:val="009833E1"/>
    <w:rsid w:val="00983CAA"/>
    <w:rsid w:val="00992D9C"/>
    <w:rsid w:val="00994D81"/>
    <w:rsid w:val="00996CB8"/>
    <w:rsid w:val="009A35A4"/>
    <w:rsid w:val="009A56F3"/>
    <w:rsid w:val="009B14A9"/>
    <w:rsid w:val="009B2E97"/>
    <w:rsid w:val="009B32C3"/>
    <w:rsid w:val="009C3A67"/>
    <w:rsid w:val="009C44DB"/>
    <w:rsid w:val="009C53DE"/>
    <w:rsid w:val="009D6E48"/>
    <w:rsid w:val="009D7827"/>
    <w:rsid w:val="009E07F4"/>
    <w:rsid w:val="009E4722"/>
    <w:rsid w:val="009F392E"/>
    <w:rsid w:val="00A05FB4"/>
    <w:rsid w:val="00A116AC"/>
    <w:rsid w:val="00A6177B"/>
    <w:rsid w:val="00A66136"/>
    <w:rsid w:val="00A67821"/>
    <w:rsid w:val="00A8387F"/>
    <w:rsid w:val="00A85CFA"/>
    <w:rsid w:val="00AA182D"/>
    <w:rsid w:val="00AA4CBB"/>
    <w:rsid w:val="00AA65FA"/>
    <w:rsid w:val="00AA6FEA"/>
    <w:rsid w:val="00AA7351"/>
    <w:rsid w:val="00AB03E6"/>
    <w:rsid w:val="00AB0F93"/>
    <w:rsid w:val="00AB422F"/>
    <w:rsid w:val="00AD056F"/>
    <w:rsid w:val="00AD6731"/>
    <w:rsid w:val="00AE38A3"/>
    <w:rsid w:val="00AF0BA1"/>
    <w:rsid w:val="00B15D0D"/>
    <w:rsid w:val="00B22A7C"/>
    <w:rsid w:val="00B24ABC"/>
    <w:rsid w:val="00B26F62"/>
    <w:rsid w:val="00B40A66"/>
    <w:rsid w:val="00B45300"/>
    <w:rsid w:val="00B5111C"/>
    <w:rsid w:val="00B576D7"/>
    <w:rsid w:val="00B623EA"/>
    <w:rsid w:val="00B75EE1"/>
    <w:rsid w:val="00B77481"/>
    <w:rsid w:val="00B803DC"/>
    <w:rsid w:val="00B8518B"/>
    <w:rsid w:val="00B9580D"/>
    <w:rsid w:val="00BA4E54"/>
    <w:rsid w:val="00BD003D"/>
    <w:rsid w:val="00BD373B"/>
    <w:rsid w:val="00BD7E91"/>
    <w:rsid w:val="00C02D0A"/>
    <w:rsid w:val="00C03A6E"/>
    <w:rsid w:val="00C2732F"/>
    <w:rsid w:val="00C44F6A"/>
    <w:rsid w:val="00C47AE3"/>
    <w:rsid w:val="00C53DEA"/>
    <w:rsid w:val="00C569B1"/>
    <w:rsid w:val="00C5767E"/>
    <w:rsid w:val="00C86996"/>
    <w:rsid w:val="00C963B3"/>
    <w:rsid w:val="00C97C52"/>
    <w:rsid w:val="00CD1FC4"/>
    <w:rsid w:val="00CD559D"/>
    <w:rsid w:val="00D15860"/>
    <w:rsid w:val="00D17940"/>
    <w:rsid w:val="00D21061"/>
    <w:rsid w:val="00D25542"/>
    <w:rsid w:val="00D279D0"/>
    <w:rsid w:val="00D37C66"/>
    <w:rsid w:val="00D4108E"/>
    <w:rsid w:val="00D6163D"/>
    <w:rsid w:val="00D64F3C"/>
    <w:rsid w:val="00D66581"/>
    <w:rsid w:val="00D73D46"/>
    <w:rsid w:val="00D76477"/>
    <w:rsid w:val="00D831A3"/>
    <w:rsid w:val="00D95152"/>
    <w:rsid w:val="00DC75F3"/>
    <w:rsid w:val="00DD46F3"/>
    <w:rsid w:val="00DE292A"/>
    <w:rsid w:val="00DE56F2"/>
    <w:rsid w:val="00DF116D"/>
    <w:rsid w:val="00E00CFF"/>
    <w:rsid w:val="00E20587"/>
    <w:rsid w:val="00E2287F"/>
    <w:rsid w:val="00E23547"/>
    <w:rsid w:val="00E263C6"/>
    <w:rsid w:val="00E31899"/>
    <w:rsid w:val="00E33568"/>
    <w:rsid w:val="00E36C4A"/>
    <w:rsid w:val="00E539AF"/>
    <w:rsid w:val="00E56245"/>
    <w:rsid w:val="00E56D11"/>
    <w:rsid w:val="00E6390C"/>
    <w:rsid w:val="00E717F1"/>
    <w:rsid w:val="00E77B02"/>
    <w:rsid w:val="00E82AA8"/>
    <w:rsid w:val="00E90361"/>
    <w:rsid w:val="00E91E60"/>
    <w:rsid w:val="00E976E4"/>
    <w:rsid w:val="00EA56E5"/>
    <w:rsid w:val="00EB104F"/>
    <w:rsid w:val="00EB4C30"/>
    <w:rsid w:val="00EC5149"/>
    <w:rsid w:val="00ED14BD"/>
    <w:rsid w:val="00EE6DA6"/>
    <w:rsid w:val="00F01B43"/>
    <w:rsid w:val="00F0533E"/>
    <w:rsid w:val="00F1048D"/>
    <w:rsid w:val="00F12DEC"/>
    <w:rsid w:val="00F1715C"/>
    <w:rsid w:val="00F27ADE"/>
    <w:rsid w:val="00F310F8"/>
    <w:rsid w:val="00F33F55"/>
    <w:rsid w:val="00F35939"/>
    <w:rsid w:val="00F45607"/>
    <w:rsid w:val="00F504C3"/>
    <w:rsid w:val="00F5558F"/>
    <w:rsid w:val="00F659EB"/>
    <w:rsid w:val="00F7415E"/>
    <w:rsid w:val="00F835A8"/>
    <w:rsid w:val="00F86BA6"/>
    <w:rsid w:val="00FA475A"/>
    <w:rsid w:val="00FA67CC"/>
    <w:rsid w:val="00FB6E1B"/>
    <w:rsid w:val="00FC3877"/>
    <w:rsid w:val="00FC6389"/>
    <w:rsid w:val="00FD0425"/>
    <w:rsid w:val="00FD081C"/>
    <w:rsid w:val="00FD10C8"/>
    <w:rsid w:val="00FE3E78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96088"/>
  </w:style>
  <w:style w:type="paragraph" w:customStyle="1" w:styleId="paragraph">
    <w:name w:val="paragraph"/>
    <w:basedOn w:val="Normln"/>
    <w:rsid w:val="0039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39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CED9C9-A594-4400-B13D-E7EBC083F3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5</Pages>
  <Words>1580</Words>
  <Characters>9328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Novák Martin, Ing.</cp:lastModifiedBy>
  <cp:revision>2</cp:revision>
  <cp:lastPrinted>2017-11-28T17:18:00Z</cp:lastPrinted>
  <dcterms:created xsi:type="dcterms:W3CDTF">2024-08-19T13:40:00Z</dcterms:created>
  <dcterms:modified xsi:type="dcterms:W3CDTF">2024-08-19T13:40:00Z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